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CD182D0"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на поставку</w:t>
      </w:r>
      <w:r w:rsidR="003A4648">
        <w:rPr>
          <w:rFonts w:ascii="PT Astra Serif" w:hAnsi="PT Astra Serif"/>
          <w:b/>
          <w:color w:val="auto"/>
          <w:sz w:val="28"/>
        </w:rPr>
        <w:t xml:space="preserve"> архивных коробов </w:t>
      </w:r>
    </w:p>
    <w:p w14:paraId="4907CF93" w14:textId="4FBE8066"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3A4648" w:rsidRPr="003A4648">
        <w:rPr>
          <w:rFonts w:ascii="PT Astra Serif" w:hAnsi="PT Astra Serif"/>
          <w:color w:val="auto"/>
          <w:sz w:val="28"/>
        </w:rPr>
        <w:t>24 38622002368862201001 0240 001 1721 244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2656A93"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3A4648">
        <w:rPr>
          <w:rFonts w:ascii="PT Astra Serif" w:hAnsi="PT Astra Serif"/>
          <w:bCs/>
          <w:color w:val="000099"/>
          <w:szCs w:val="24"/>
        </w:rPr>
        <w:t>архивные короба</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2BFAB99"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9F1E34">
        <w:rPr>
          <w:rFonts w:ascii="PT Astra Serif" w:hAnsi="PT Astra Serif"/>
          <w:color w:val="auto"/>
          <w:szCs w:val="24"/>
        </w:rPr>
        <w:t>4</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0AA2F13" w14:textId="235D0CDC" w:rsidR="003A4648"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3A4648" w:rsidRPr="003A4648">
        <w:rPr>
          <w:rFonts w:ascii="PT Astra Serif" w:hAnsi="PT Astra Serif"/>
          <w:color w:val="auto"/>
          <w:szCs w:val="24"/>
        </w:rPr>
        <w:t xml:space="preserve">628260, Ханты-Мансийский автономный округ - Югра, г. </w:t>
      </w:r>
      <w:proofErr w:type="spellStart"/>
      <w:r w:rsidR="003A4648" w:rsidRPr="003A4648">
        <w:rPr>
          <w:rFonts w:ascii="PT Astra Serif" w:hAnsi="PT Astra Serif"/>
          <w:color w:val="auto"/>
          <w:szCs w:val="24"/>
        </w:rPr>
        <w:t>Югорск</w:t>
      </w:r>
      <w:proofErr w:type="spellEnd"/>
      <w:r w:rsidR="003A4648" w:rsidRPr="003A4648">
        <w:rPr>
          <w:rFonts w:ascii="PT Astra Serif" w:hAnsi="PT Astra Serif"/>
          <w:color w:val="auto"/>
          <w:szCs w:val="24"/>
        </w:rPr>
        <w:t>, ул. Железнодорожная, д. 43/1 (далее - место доставки), в срок c</w:t>
      </w:r>
      <w:r w:rsidR="001969CB">
        <w:rPr>
          <w:rFonts w:ascii="PT Astra Serif" w:hAnsi="PT Astra Serif"/>
          <w:color w:val="auto"/>
          <w:szCs w:val="24"/>
        </w:rPr>
        <w:t xml:space="preserve"> даты подписания контракта по 27.09</w:t>
      </w:r>
      <w:r w:rsidR="003A4648" w:rsidRPr="003A4648">
        <w:rPr>
          <w:rFonts w:ascii="PT Astra Serif" w:hAnsi="PT Astra Serif"/>
          <w:color w:val="auto"/>
          <w:szCs w:val="24"/>
        </w:rPr>
        <w:t xml:space="preserve">.2024. Ответственное должностное лицо за приемку товара – главный специалист по делам архивов, </w:t>
      </w:r>
      <w:proofErr w:type="spellStart"/>
      <w:r w:rsidR="003A4648" w:rsidRPr="003A4648">
        <w:rPr>
          <w:rFonts w:ascii="PT Astra Serif" w:hAnsi="PT Astra Serif"/>
          <w:color w:val="auto"/>
          <w:szCs w:val="24"/>
        </w:rPr>
        <w:t>Дергилева</w:t>
      </w:r>
      <w:proofErr w:type="spellEnd"/>
      <w:r w:rsidR="003A4648" w:rsidRPr="003A4648">
        <w:rPr>
          <w:rFonts w:ascii="PT Astra Serif" w:hAnsi="PT Astra Serif"/>
          <w:color w:val="auto"/>
          <w:szCs w:val="24"/>
        </w:rPr>
        <w:t xml:space="preserve"> Людмила Евгеньевна, 8 34675 7-38-81.</w:t>
      </w:r>
    </w:p>
    <w:p w14:paraId="3D0D13F7" w14:textId="2BDCCA9D"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B0E438A"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 xml:space="preserve">Адресом электронной почты для получения сообщений является: </w:t>
      </w:r>
      <w:r w:rsidR="003A4648" w:rsidRPr="003A4648">
        <w:rPr>
          <w:rFonts w:ascii="PT Astra Serif" w:hAnsi="PT Astra Serif"/>
          <w:szCs w:val="24"/>
        </w:rPr>
        <w:t>dergilevale@ugorsk.ru. Номером телефона для получения сообщений является: 8 (34675) 7-38-81</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ED67B7">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w:t>
      </w:r>
      <w:r w:rsidRPr="00ED67B7">
        <w:rPr>
          <w:rFonts w:ascii="PT Astra Serif" w:hAnsi="PT Astra Serif"/>
          <w:szCs w:val="24"/>
        </w:rPr>
        <w:lastRenderedPageBreak/>
        <w:t>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4.4.3. проверять ход и качество выполнения Поставщиком условий Контракта без </w:t>
      </w:r>
      <w:r w:rsidRPr="00ED67B7">
        <w:rPr>
          <w:rFonts w:ascii="PT Astra Serif" w:hAnsi="PT Astra Serif"/>
          <w:szCs w:val="24"/>
        </w:rPr>
        <w:lastRenderedPageBreak/>
        <w:t>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6D420DA6"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3A4648">
        <w:rPr>
          <w:rFonts w:ascii="PT Astra Serif" w:hAnsi="PT Astra Serif"/>
          <w:color w:val="000099"/>
          <w:szCs w:val="24"/>
        </w:rPr>
        <w:t>ы контракта, что составляет 3 565</w:t>
      </w:r>
      <w:r w:rsidR="00D44AF5" w:rsidRPr="00D44AF5">
        <w:rPr>
          <w:rFonts w:ascii="PT Astra Serif" w:hAnsi="PT Astra Serif"/>
          <w:color w:val="000099"/>
          <w:szCs w:val="24"/>
        </w:rPr>
        <w:t xml:space="preserve"> (</w:t>
      </w:r>
      <w:r w:rsidR="003A4648">
        <w:rPr>
          <w:rFonts w:ascii="PT Astra Serif" w:hAnsi="PT Astra Serif"/>
          <w:color w:val="000099"/>
          <w:szCs w:val="24"/>
        </w:rPr>
        <w:t>три тысячи пятьсот  шестьдесят пять) рублей 45 копее</w:t>
      </w:r>
      <w:r w:rsidR="00D44AF5" w:rsidRPr="00D44AF5">
        <w:rPr>
          <w:rFonts w:ascii="PT Astra Serif" w:hAnsi="PT Astra Serif"/>
          <w:color w:val="000099"/>
          <w:szCs w:val="24"/>
        </w:rPr>
        <w:t>к</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10.3. В случае возникновения обстоятельств непреодолимой силы Стороны вправе </w:t>
      </w:r>
      <w:r w:rsidRPr="00ED67B7">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C40FC8A" w14:textId="77777777" w:rsidR="00B82891" w:rsidRPr="00ED67B7" w:rsidRDefault="00B82891"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ED67B7">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5192AC0D"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3A4648">
        <w:rPr>
          <w:rFonts w:ascii="PT Astra Serif" w:hAnsi="PT Astra Serif"/>
          <w:color w:val="000099"/>
        </w:rPr>
        <w:t>25</w:t>
      </w:r>
      <w:r w:rsidRPr="00ED67B7">
        <w:rPr>
          <w:rFonts w:ascii="PT Astra Serif" w:hAnsi="PT Astra Serif"/>
          <w:color w:val="000099"/>
        </w:rPr>
        <w:t>.</w:t>
      </w:r>
      <w:r w:rsidR="003A4648">
        <w:rPr>
          <w:rFonts w:ascii="PT Astra Serif" w:hAnsi="PT Astra Serif"/>
          <w:color w:val="000099"/>
        </w:rPr>
        <w:t>10</w:t>
      </w:r>
      <w:r w:rsidRPr="00ED67B7">
        <w:rPr>
          <w:rFonts w:ascii="PT Astra Serif" w:hAnsi="PT Astra Serif"/>
          <w:color w:val="000099"/>
        </w:rPr>
        <w:t>.202</w:t>
      </w:r>
      <w:r w:rsidR="004A70EA">
        <w:rPr>
          <w:rFonts w:ascii="PT Astra Serif" w:hAnsi="PT Astra Serif"/>
          <w:color w:val="000099"/>
        </w:rPr>
        <w:t>4</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5069"/>
      </w:tblGrid>
      <w:tr w:rsidR="00AB418B" w:rsidRPr="00ED67B7" w14:paraId="4DCCEC78" w14:textId="77777777" w:rsidTr="003A4648">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5069"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03631F09" w:rsidR="009734F6" w:rsidRDefault="009734F6" w:rsidP="00053F01">
      <w:pPr>
        <w:spacing w:after="0"/>
        <w:rPr>
          <w:rFonts w:ascii="PT Astra Serif" w:hAnsi="PT Astra Serif"/>
        </w:rPr>
      </w:pPr>
      <w:r>
        <w:rPr>
          <w:rFonts w:ascii="PT Astra Serif" w:hAnsi="PT Astra Serif"/>
        </w:rPr>
        <w:t xml:space="preserve">ИКЗ </w:t>
      </w:r>
      <w:r w:rsidR="003A4648" w:rsidRPr="003A4648">
        <w:rPr>
          <w:rFonts w:ascii="PT Astra Serif" w:hAnsi="PT Astra Serif"/>
        </w:rPr>
        <w:t>24 38622002368862201001 0240 001 1721 244</w:t>
      </w:r>
    </w:p>
    <w:p w14:paraId="421BE03D" w14:textId="77777777" w:rsidR="00287F10" w:rsidRPr="00BB2D2B" w:rsidRDefault="00287F10" w:rsidP="00053F01">
      <w:pPr>
        <w:spacing w:after="0"/>
        <w:rPr>
          <w:rFonts w:ascii="PT Astra Serif" w:hAnsi="PT Astra Serif"/>
        </w:rPr>
      </w:pPr>
    </w:p>
    <w:p w14:paraId="7F1DA144" w14:textId="5FE343CF" w:rsidR="00287F10" w:rsidRPr="00ED67B7" w:rsidRDefault="00B82891" w:rsidP="00287F10">
      <w:pPr>
        <w:spacing w:after="0"/>
        <w:rPr>
          <w:rFonts w:ascii="PT Astra Serif" w:hAnsi="PT Astra Serif"/>
        </w:rPr>
      </w:pPr>
      <w:r>
        <w:rPr>
          <w:rFonts w:ascii="PT Astra Serif" w:hAnsi="PT Astra Serif"/>
        </w:rPr>
        <w:t>Заведующий сектором по делам архивов</w:t>
      </w:r>
      <w:r w:rsidR="00287F10" w:rsidRPr="00ED67B7">
        <w:rPr>
          <w:rFonts w:ascii="PT Astra Serif" w:hAnsi="PT Astra Serif"/>
        </w:rPr>
        <w:t>:</w:t>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t xml:space="preserve">           </w:t>
      </w:r>
      <w:r>
        <w:rPr>
          <w:rFonts w:ascii="PT Astra Serif" w:hAnsi="PT Astra Serif"/>
        </w:rPr>
        <w:t xml:space="preserve">           </w:t>
      </w:r>
      <w:proofErr w:type="spellStart"/>
      <w:r>
        <w:rPr>
          <w:rFonts w:ascii="PT Astra Serif" w:hAnsi="PT Astra Serif"/>
        </w:rPr>
        <w:t>Дергилева</w:t>
      </w:r>
      <w:proofErr w:type="spellEnd"/>
      <w:r>
        <w:rPr>
          <w:rFonts w:ascii="PT Astra Serif" w:hAnsi="PT Astra Serif"/>
        </w:rPr>
        <w:t xml:space="preserve"> Л.Е.</w:t>
      </w:r>
      <w:r w:rsidR="004A70EA">
        <w:rPr>
          <w:rFonts w:ascii="PT Astra Serif" w:hAnsi="PT Astra Serif"/>
        </w:rPr>
        <w:t xml:space="preserve">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4374EAA"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3A4648">
        <w:rPr>
          <w:rFonts w:ascii="PT Astra Serif" w:hAnsi="PT Astra Serif"/>
          <w:b/>
          <w:bCs/>
        </w:rPr>
        <w:t>архивных коробов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349" w:type="dxa"/>
        <w:tblInd w:w="-34" w:type="dxa"/>
        <w:tblLayout w:type="fixed"/>
        <w:tblLook w:val="04A0" w:firstRow="1" w:lastRow="0" w:firstColumn="1" w:lastColumn="0" w:noHBand="0" w:noVBand="1"/>
      </w:tblPr>
      <w:tblGrid>
        <w:gridCol w:w="567"/>
        <w:gridCol w:w="2836"/>
        <w:gridCol w:w="709"/>
        <w:gridCol w:w="709"/>
        <w:gridCol w:w="1275"/>
        <w:gridCol w:w="993"/>
        <w:gridCol w:w="1417"/>
        <w:gridCol w:w="1843"/>
      </w:tblGrid>
      <w:tr w:rsidR="00D11981" w:rsidRPr="00286DFC" w14:paraId="3922733B" w14:textId="2C32EB20" w:rsidTr="00D11981">
        <w:trPr>
          <w:trHeight w:val="406"/>
        </w:trPr>
        <w:tc>
          <w:tcPr>
            <w:tcW w:w="4821" w:type="dxa"/>
            <w:gridSpan w:val="4"/>
            <w:tcBorders>
              <w:top w:val="single" w:sz="8" w:space="0" w:color="auto"/>
              <w:left w:val="single" w:sz="8" w:space="0" w:color="auto"/>
              <w:bottom w:val="nil"/>
              <w:right w:val="single" w:sz="8" w:space="0" w:color="auto"/>
            </w:tcBorders>
            <w:vAlign w:val="center"/>
          </w:tcPr>
          <w:p w14:paraId="04ED0174" w14:textId="77777777" w:rsidR="00D11981" w:rsidRPr="00286DFC" w:rsidRDefault="00D11981"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D11981" w:rsidRPr="00286DFC" w:rsidRDefault="00D11981"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D11981" w:rsidRDefault="00D11981"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D11981" w:rsidRPr="00286DFC" w:rsidRDefault="00D11981"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843" w:type="dxa"/>
            <w:vMerge w:val="restart"/>
            <w:tcBorders>
              <w:top w:val="single" w:sz="8" w:space="0" w:color="auto"/>
              <w:left w:val="single" w:sz="8" w:space="0" w:color="auto"/>
              <w:right w:val="single" w:sz="8" w:space="0" w:color="auto"/>
            </w:tcBorders>
            <w:vAlign w:val="center"/>
          </w:tcPr>
          <w:p w14:paraId="3872E419" w14:textId="34D3DB73" w:rsidR="00D11981" w:rsidRPr="003C4B0E" w:rsidRDefault="00D11981" w:rsidP="00C61D61">
            <w:pPr>
              <w:spacing w:after="0"/>
              <w:jc w:val="center"/>
              <w:rPr>
                <w:rFonts w:ascii="PT Astra Serif" w:hAnsi="PT Astra Serif"/>
              </w:rPr>
            </w:pPr>
            <w:r>
              <w:rPr>
                <w:rFonts w:ascii="PT Astra Serif" w:hAnsi="PT Astra Serif"/>
                <w:sz w:val="22"/>
              </w:rPr>
              <w:t>Страна происхождения</w:t>
            </w:r>
          </w:p>
        </w:tc>
      </w:tr>
      <w:tr w:rsidR="00D11981" w:rsidRPr="00286DFC" w14:paraId="5E6E301A" w14:textId="2AA552C6" w:rsidTr="00D11981">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D11981" w:rsidRPr="00286DFC" w:rsidRDefault="00D11981"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2836" w:type="dxa"/>
            <w:tcBorders>
              <w:top w:val="single" w:sz="4" w:space="0" w:color="auto"/>
              <w:left w:val="single" w:sz="4" w:space="0" w:color="auto"/>
              <w:bottom w:val="single" w:sz="4" w:space="0" w:color="auto"/>
              <w:right w:val="single" w:sz="8" w:space="0" w:color="auto"/>
            </w:tcBorders>
            <w:vAlign w:val="center"/>
          </w:tcPr>
          <w:p w14:paraId="62D5EA33" w14:textId="77777777" w:rsidR="00D11981" w:rsidRPr="00286DFC" w:rsidRDefault="00D11981" w:rsidP="00E0107A">
            <w:pPr>
              <w:spacing w:after="0"/>
              <w:jc w:val="center"/>
              <w:rPr>
                <w:rFonts w:ascii="PT Astra Serif" w:hAnsi="PT Astra Serif"/>
              </w:rPr>
            </w:pPr>
            <w:r w:rsidRPr="00286DFC">
              <w:rPr>
                <w:rFonts w:ascii="PT Astra Serif" w:hAnsi="PT Astra Serif"/>
              </w:rPr>
              <w:t xml:space="preserve">Наименование и описание объекта </w:t>
            </w:r>
            <w:bookmarkStart w:id="4" w:name="_GoBack"/>
            <w:bookmarkEnd w:id="4"/>
            <w:r w:rsidRPr="00286DFC">
              <w:rPr>
                <w:rFonts w:ascii="PT Astra Serif" w:hAnsi="PT Astra Serif"/>
              </w:rPr>
              <w:t>закупки.</w:t>
            </w:r>
          </w:p>
          <w:p w14:paraId="43869D24" w14:textId="69D5F09B" w:rsidR="00D11981" w:rsidRPr="00BD4115" w:rsidRDefault="00D11981"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D11981" w:rsidRPr="00286DFC" w:rsidRDefault="00D11981"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D11981" w:rsidRPr="00286DFC" w:rsidRDefault="00D11981"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D11981" w:rsidRPr="00286DFC" w:rsidRDefault="00D11981"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D11981" w:rsidRPr="00286DFC" w:rsidRDefault="00D11981"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D11981" w:rsidRPr="00286DFC" w:rsidRDefault="00D11981" w:rsidP="00E0107A">
            <w:pPr>
              <w:spacing w:after="0"/>
              <w:jc w:val="center"/>
              <w:rPr>
                <w:rFonts w:ascii="PT Astra Serif" w:hAnsi="PT Astra Serif"/>
              </w:rPr>
            </w:pPr>
          </w:p>
        </w:tc>
        <w:tc>
          <w:tcPr>
            <w:tcW w:w="1843" w:type="dxa"/>
            <w:vMerge/>
            <w:tcBorders>
              <w:left w:val="single" w:sz="8" w:space="0" w:color="auto"/>
              <w:bottom w:val="nil"/>
              <w:right w:val="single" w:sz="8" w:space="0" w:color="auto"/>
            </w:tcBorders>
          </w:tcPr>
          <w:p w14:paraId="2365388B" w14:textId="1BCF5A8A" w:rsidR="00D11981" w:rsidRPr="00286DFC" w:rsidRDefault="00D11981" w:rsidP="00E0107A">
            <w:pPr>
              <w:spacing w:after="0"/>
              <w:jc w:val="center"/>
              <w:rPr>
                <w:rFonts w:ascii="PT Astra Serif" w:hAnsi="PT Astra Serif"/>
              </w:rPr>
            </w:pPr>
          </w:p>
        </w:tc>
      </w:tr>
      <w:tr w:rsidR="00D11981" w:rsidRPr="00286DFC" w14:paraId="48509435" w14:textId="7D36F253" w:rsidTr="00D11981">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D11981" w:rsidRPr="00286DFC" w:rsidRDefault="00D11981" w:rsidP="00286DFC">
            <w:pPr>
              <w:spacing w:after="0"/>
              <w:jc w:val="center"/>
              <w:rPr>
                <w:rFonts w:ascii="PT Astra Serif" w:hAnsi="PT Astra Serif"/>
              </w:rPr>
            </w:pPr>
          </w:p>
        </w:tc>
        <w:tc>
          <w:tcPr>
            <w:tcW w:w="2836" w:type="dxa"/>
            <w:tcBorders>
              <w:top w:val="single" w:sz="4" w:space="0" w:color="auto"/>
              <w:left w:val="single" w:sz="4" w:space="0" w:color="auto"/>
              <w:bottom w:val="single" w:sz="4" w:space="0" w:color="auto"/>
              <w:right w:val="single" w:sz="8" w:space="0" w:color="auto"/>
            </w:tcBorders>
          </w:tcPr>
          <w:p w14:paraId="053F8923" w14:textId="77777777" w:rsidR="00D11981" w:rsidRPr="00286DFC" w:rsidRDefault="00D11981"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D11981" w:rsidRPr="00286DFC" w:rsidRDefault="00D11981"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D11981" w:rsidRPr="00286DFC" w:rsidRDefault="00D11981"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D11981" w:rsidRPr="00286DFC" w:rsidRDefault="00D11981"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D11981" w:rsidRPr="00286DFC" w:rsidRDefault="00D11981"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D11981" w:rsidRPr="00286DFC" w:rsidRDefault="00D11981" w:rsidP="00286DFC">
            <w:pPr>
              <w:spacing w:after="0"/>
              <w:jc w:val="center"/>
              <w:rPr>
                <w:rFonts w:ascii="PT Astra Serif" w:hAnsi="PT Astra Serif"/>
              </w:rPr>
            </w:pPr>
          </w:p>
        </w:tc>
        <w:tc>
          <w:tcPr>
            <w:tcW w:w="1843" w:type="dxa"/>
            <w:tcBorders>
              <w:top w:val="single" w:sz="8" w:space="0" w:color="auto"/>
              <w:left w:val="single" w:sz="8" w:space="0" w:color="auto"/>
              <w:bottom w:val="single" w:sz="8" w:space="0" w:color="auto"/>
              <w:right w:val="single" w:sz="8" w:space="0" w:color="auto"/>
            </w:tcBorders>
          </w:tcPr>
          <w:p w14:paraId="3FFB6572" w14:textId="77777777" w:rsidR="00D11981" w:rsidRPr="00286DFC" w:rsidRDefault="00D11981" w:rsidP="00286DFC">
            <w:pPr>
              <w:spacing w:after="0"/>
              <w:jc w:val="center"/>
              <w:rPr>
                <w:rFonts w:ascii="PT Astra Serif" w:hAnsi="PT Astra Serif"/>
              </w:rPr>
            </w:pPr>
          </w:p>
        </w:tc>
      </w:tr>
      <w:tr w:rsidR="00D11981" w:rsidRPr="00286DFC" w14:paraId="0DAB5A76" w14:textId="2A6F93AB" w:rsidTr="00D11981">
        <w:trPr>
          <w:trHeight w:val="525"/>
        </w:trPr>
        <w:tc>
          <w:tcPr>
            <w:tcW w:w="3403" w:type="dxa"/>
            <w:gridSpan w:val="2"/>
            <w:tcBorders>
              <w:top w:val="single" w:sz="8" w:space="0" w:color="auto"/>
              <w:left w:val="single" w:sz="8" w:space="0" w:color="auto"/>
              <w:bottom w:val="single" w:sz="8" w:space="0" w:color="auto"/>
              <w:right w:val="single" w:sz="8" w:space="0" w:color="auto"/>
            </w:tcBorders>
          </w:tcPr>
          <w:p w14:paraId="3A172892" w14:textId="1EC882B8" w:rsidR="00D11981" w:rsidRPr="00286DFC" w:rsidRDefault="00D11981"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D11981" w:rsidRPr="00286DFC" w:rsidRDefault="00D11981"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D11981" w:rsidRPr="00286DFC" w:rsidRDefault="00D11981"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D11981" w:rsidRPr="00286DFC" w:rsidRDefault="00D11981"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D11981" w:rsidRPr="00286DFC" w:rsidRDefault="00D11981"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D11981" w:rsidRPr="00286DFC" w:rsidRDefault="00D11981" w:rsidP="00286DFC">
            <w:pPr>
              <w:spacing w:after="0"/>
              <w:jc w:val="center"/>
              <w:rPr>
                <w:rFonts w:ascii="PT Astra Serif" w:hAnsi="PT Astra Serif"/>
                <w:b/>
              </w:rPr>
            </w:pPr>
          </w:p>
        </w:tc>
        <w:tc>
          <w:tcPr>
            <w:tcW w:w="1843" w:type="dxa"/>
            <w:tcBorders>
              <w:top w:val="single" w:sz="8" w:space="0" w:color="auto"/>
              <w:left w:val="nil"/>
              <w:bottom w:val="single" w:sz="8" w:space="0" w:color="auto"/>
              <w:right w:val="single" w:sz="8" w:space="0" w:color="auto"/>
            </w:tcBorders>
          </w:tcPr>
          <w:p w14:paraId="1580C504" w14:textId="77777777" w:rsidR="00D11981" w:rsidRPr="00286DFC" w:rsidRDefault="00D11981"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CFD7" w14:textId="77777777" w:rsidR="00E04BB9" w:rsidRDefault="00E04BB9">
      <w:r>
        <w:separator/>
      </w:r>
    </w:p>
  </w:endnote>
  <w:endnote w:type="continuationSeparator" w:id="0">
    <w:p w14:paraId="5CC36211" w14:textId="77777777" w:rsidR="00E04BB9" w:rsidRDefault="00E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1981">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E3EC" w14:textId="77777777" w:rsidR="00E04BB9" w:rsidRDefault="00E04BB9">
      <w:r>
        <w:separator/>
      </w:r>
    </w:p>
  </w:footnote>
  <w:footnote w:type="continuationSeparator" w:id="0">
    <w:p w14:paraId="717295BD" w14:textId="77777777" w:rsidR="00E04BB9" w:rsidRDefault="00E04B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9CB"/>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4648"/>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2891"/>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1981"/>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5120-1F8C-469B-BD2D-BA9DBEC4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6223</Words>
  <Characters>44948</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51069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26</cp:revision>
  <cp:lastPrinted>2024-07-24T10:42:00Z</cp:lastPrinted>
  <dcterms:created xsi:type="dcterms:W3CDTF">2023-02-06T11:40:00Z</dcterms:created>
  <dcterms:modified xsi:type="dcterms:W3CDTF">2024-07-26T09:52:00Z</dcterms:modified>
</cp:coreProperties>
</file>